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color w:val="00000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ACLARACIÓN </w:t>
      </w:r>
    </w:p>
    <w:p>
      <w:pPr>
        <w:pStyle w:val="Contenidodelmarco"/>
        <w:bidi w:val="0"/>
        <w:spacing w:before="0" w:after="160"/>
        <w:ind w:lef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1201.</w:t>
      </w:r>
      <w:r>
        <w:rPr>
          <w:rStyle w:val="Muydestacad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Información estadística sobre las resoluciones de las solicitudes de derecho de acceso a la información pública en Turismo de Gran Canaria durante 2022- 2023.</w:t>
      </w:r>
    </w:p>
    <w:p>
      <w:pPr>
        <w:pStyle w:val="Contenidodelmarco"/>
        <w:bidi w:val="0"/>
        <w:spacing w:before="0" w:after="160"/>
        <w:ind w:left="0" w:hanging="0"/>
        <w:jc w:val="both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tbl>
      <w:tblPr>
        <w:tblW w:w="6558" w:type="dxa"/>
        <w:jc w:val="left"/>
        <w:tblInd w:w="-1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224"/>
        <w:gridCol w:w="2333"/>
      </w:tblGrid>
      <w:tr>
        <w:trPr>
          <w:trHeight w:val="419" w:hRule="atLeast"/>
        </w:trPr>
        <w:tc>
          <w:tcPr>
            <w:tcW w:w="655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RESOLUCIONES DERECHO DE ACCESO A INFORMACI</w:t>
            </w:r>
            <w:r>
              <w:rPr>
                <w:b/>
                <w:sz w:val="16"/>
                <w:szCs w:val="16"/>
              </w:rPr>
              <w:t>ÓN PÚBLICA</w:t>
            </w:r>
          </w:p>
        </w:tc>
      </w:tr>
      <w:tr>
        <w:trPr>
          <w:trHeight w:val="480" w:hRule="atLeast"/>
        </w:trPr>
        <w:tc>
          <w:tcPr>
            <w:tcW w:w="655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</w:tr>
      <w:tr>
        <w:trPr>
          <w:trHeight w:val="276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RESOLUCIÓN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</w:tc>
      </w:tr>
      <w:tr>
        <w:trPr>
          <w:trHeight w:val="276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ESTIMADAS TOTALMENTE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ESTIMADAS PARCIALMENTE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INADMITIDAS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DESESTIMADAS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OTRAS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PENDIENTES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404" w:leader="none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>
      <w:pPr>
        <w:pStyle w:val="Normal"/>
        <w:spacing w:before="0" w:after="160"/>
        <w:ind w:left="0" w:hanging="0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* De dichas Resoluciones/Decreto se da traslado a la Unidad de Transparencia del Cabildo de Gran Canaria. </w:t>
      </w:r>
    </w:p>
    <w:tbl>
      <w:tblPr>
        <w:tblW w:w="6576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244"/>
        <w:gridCol w:w="2331"/>
      </w:tblGrid>
      <w:tr>
        <w:trPr>
          <w:trHeight w:val="419" w:hRule="atLeast"/>
        </w:trPr>
        <w:tc>
          <w:tcPr>
            <w:tcW w:w="657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RESOLUCIONES DERECHO DE ACCESO A INFORMACI</w:t>
            </w:r>
            <w:r>
              <w:rPr>
                <w:b/>
                <w:sz w:val="16"/>
                <w:szCs w:val="16"/>
              </w:rPr>
              <w:t>ÓN PÚBLICA</w:t>
            </w:r>
          </w:p>
        </w:tc>
      </w:tr>
      <w:tr>
        <w:trPr>
          <w:trHeight w:val="480" w:hRule="atLeast"/>
        </w:trPr>
        <w:tc>
          <w:tcPr>
            <w:tcW w:w="657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</w:tr>
      <w:tr>
        <w:trPr>
          <w:trHeight w:val="276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RESOLUCIÓN</w:t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</w:tc>
      </w:tr>
      <w:tr>
        <w:trPr>
          <w:trHeight w:val="276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ESTIMADAS TOTALMENTE</w:t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ESTIMADAS PARCIALMENTE</w:t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INADMITIDAS</w:t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DESESTIMADAS</w:t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OTRAS</w:t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PENDIENTES</w:t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2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>
      <w:pPr>
        <w:pStyle w:val="Normal"/>
        <w:spacing w:before="0" w:after="160"/>
        <w:ind w:left="0" w:hanging="0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  <w:t>* De dichas Resoluciones/Decreto se da traslado a la Unidad de Transparencia del Cabildo de Gran Canaria.</w:t>
      </w:r>
    </w:p>
    <w:p>
      <w:pPr>
        <w:pStyle w:val="Normal"/>
        <w:spacing w:before="0" w:after="160"/>
        <w:ind w:left="0" w:hanging="0"/>
        <w:jc w:val="both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spacing w:before="0" w:after="160"/>
        <w:ind w:left="0" w:hanging="0"/>
        <w:jc w:val="both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tbl>
      <w:tblPr>
        <w:tblW w:w="8334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60"/>
        <w:gridCol w:w="3952"/>
        <w:gridCol w:w="2622"/>
      </w:tblGrid>
      <w:tr>
        <w:trPr>
          <w:trHeight w:val="315" w:hRule="atLeast"/>
        </w:trPr>
        <w:tc>
          <w:tcPr>
            <w:tcW w:w="5712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MATERIAS OBJETO DE SOLICITUD DE INFORMACIÓN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2022- 2023</w:t>
            </w:r>
          </w:p>
        </w:tc>
        <w:tc>
          <w:tcPr>
            <w:tcW w:w="26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</w:tc>
      </w:tr>
      <w:tr>
        <w:trPr>
          <w:trHeight w:val="300" w:hRule="atLeast"/>
        </w:trPr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AYUDAS Y SUBVENCIONES</w:t>
            </w:r>
          </w:p>
        </w:tc>
        <w:tc>
          <w:tcPr>
            <w:tcW w:w="39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  ( 2023) </w:t>
            </w:r>
          </w:p>
        </w:tc>
      </w:tr>
      <w:tr>
        <w:trPr>
          <w:trHeight w:val="300" w:hRule="atLeast"/>
        </w:trPr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</w:t>
            </w:r>
          </w:p>
        </w:tc>
        <w:tc>
          <w:tcPr>
            <w:tcW w:w="39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( 2022)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 ( 2023) </w:t>
            </w:r>
          </w:p>
        </w:tc>
      </w:tr>
      <w:tr>
        <w:trPr>
          <w:trHeight w:val="300" w:hRule="atLeast"/>
        </w:trPr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CONVENIOS Y ENCOMIENDAS</w:t>
            </w:r>
          </w:p>
        </w:tc>
        <w:tc>
          <w:tcPr>
            <w:tcW w:w="39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(2022)</w:t>
            </w:r>
          </w:p>
        </w:tc>
      </w:tr>
      <w:tr>
        <w:trPr>
          <w:trHeight w:val="300" w:hRule="atLeast"/>
        </w:trPr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ECONÓMICO-FINANCIERA</w:t>
            </w:r>
          </w:p>
        </w:tc>
        <w:tc>
          <w:tcPr>
            <w:tcW w:w="39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EMPLEO EN EL SECTOR PÚBLICO</w:t>
            </w:r>
          </w:p>
        </w:tc>
        <w:tc>
          <w:tcPr>
            <w:tcW w:w="39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 año 2023)</w:t>
            </w:r>
          </w:p>
        </w:tc>
      </w:tr>
      <w:tr>
        <w:trPr>
          <w:trHeight w:val="300" w:hRule="atLeast"/>
        </w:trPr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NORMATIVA</w:t>
            </w:r>
          </w:p>
        </w:tc>
        <w:tc>
          <w:tcPr>
            <w:tcW w:w="39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</w:t>
            </w:r>
          </w:p>
        </w:tc>
        <w:tc>
          <w:tcPr>
            <w:tcW w:w="39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ind w:left="0" w:hanging="0"/>
        <w:jc w:val="both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LibreOffice/7.0.4.2$Windows_X86_64 LibreOffice_project/dcf040e67528d9187c66b2379df5ea4407429775</Application>
  <AppVersion>15.0000</AppVersion>
  <Pages>2</Pages>
  <Words>175</Words>
  <Characters>939</Characters>
  <CharactersWithSpaces>1068</CharactersWithSpaces>
  <Paragraphs>57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2024-02-21T12:01:55Z</dcterms:modified>
  <cp:revision>127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